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 xml:space="preserve">July </w:t>
      </w:r>
      <w:r>
        <w:rPr/>
        <w:t>10</w:t>
      </w:r>
      <w:r>
        <w:rPr/>
        <w:t>, 2026</w:t>
      </w:r>
    </w:p>
    <w:p>
      <w:pPr>
        <w:pStyle w:val="Normal"/>
        <w:bidi w:val="0"/>
        <w:jc w:val="start"/>
        <w:rPr/>
      </w:pPr>
      <w:r>
        <w:rPr/>
      </w:r>
    </w:p>
    <w:p>
      <w:pPr>
        <w:pStyle w:val="Normal"/>
        <w:bidi w:val="0"/>
        <w:jc w:val="start"/>
        <w:rPr/>
      </w:pPr>
      <w:r>
        <w:rPr/>
        <w:tab/>
        <w:t xml:space="preserve">Re: Please oppose HR 2289 preempting city power </w:t>
      </w:r>
      <w:r>
        <w:rPr/>
        <w:t xml:space="preserve">over </w:t>
      </w:r>
      <w:r>
        <w:rPr/>
        <w:t xml:space="preserve">broadband deployment </w:t>
      </w:r>
    </w:p>
    <w:p>
      <w:pPr>
        <w:pStyle w:val="Normal"/>
        <w:bidi w:val="0"/>
        <w:jc w:val="start"/>
        <w:rPr/>
      </w:pPr>
      <w:r>
        <w:rPr/>
      </w:r>
    </w:p>
    <w:p>
      <w:pPr>
        <w:pStyle w:val="Normal"/>
        <w:bidi w:val="0"/>
        <w:jc w:val="start"/>
        <w:rPr/>
      </w:pPr>
      <w:r>
        <w:rPr/>
        <w:t>Dear Mayor, City Council, and Staff,</w:t>
      </w:r>
    </w:p>
    <w:p>
      <w:pPr>
        <w:pStyle w:val="Normal"/>
        <w:bidi w:val="0"/>
        <w:jc w:val="start"/>
        <w:rPr/>
      </w:pPr>
      <w:r>
        <w:rPr/>
      </w:r>
    </w:p>
    <w:p>
      <w:pPr>
        <w:pStyle w:val="Normal"/>
        <w:bidi w:val="0"/>
        <w:jc w:val="start"/>
        <w:rPr/>
      </w:pPr>
      <w:r>
        <w:rPr/>
        <w:t>I am a resident of the City of _____________ and one of your constituents.</w:t>
      </w:r>
    </w:p>
    <w:p>
      <w:pPr>
        <w:pStyle w:val="Normal"/>
        <w:bidi w:val="0"/>
        <w:jc w:val="start"/>
        <w:rPr/>
      </w:pPr>
      <w:r>
        <w:rPr/>
      </w:r>
    </w:p>
    <w:p>
      <w:pPr>
        <w:pStyle w:val="Normal"/>
        <w:bidi w:val="0"/>
        <w:jc w:val="start"/>
        <w:rPr/>
      </w:pPr>
      <w:r>
        <w:rPr/>
        <w:t>The telecommunications industry spends $100 million per year lobbying Congress and the FCC</w:t>
      </w:r>
      <w:r>
        <w:rPr>
          <w:rStyle w:val="FootnoteReference"/>
        </w:rPr>
        <w:footnoteReference w:id="2"/>
      </w:r>
      <w:r>
        <w:rPr/>
        <w:t xml:space="preserve">. They are lobbying Members of Congress all the time!  Congress needs to hear from the City on </w:t>
      </w:r>
      <w:hyperlink r:id="rId2">
        <w:r>
          <w:rPr>
            <w:rStyle w:val="Hyperlink"/>
          </w:rPr>
          <w:t>HR 2289, the American Broadband Deployment Act of 2025</w:t>
        </w:r>
      </w:hyperlink>
      <w:r>
        <w:rPr/>
        <w:t>.</w:t>
      </w:r>
    </w:p>
    <w:p>
      <w:pPr>
        <w:pStyle w:val="Normal"/>
        <w:bidi w:val="0"/>
        <w:ind w:hanging="0" w:start="0"/>
        <w:jc w:val="start"/>
        <w:rPr/>
      </w:pPr>
      <w:r>
        <w:rPr/>
        <w:br/>
        <w:t xml:space="preserve">I respectfully ask the City to oppose </w:t>
      </w:r>
      <w:hyperlink r:id="rId3">
        <w:r>
          <w:rPr>
            <w:rStyle w:val="Hyperlink"/>
          </w:rPr>
          <w:t>HR 2289</w:t>
        </w:r>
      </w:hyperlink>
      <w:r>
        <w:rPr/>
        <w:t xml:space="preserve">.  </w:t>
        <w:br/>
        <w:br/>
        <w:t xml:space="preserve">The City has a standing policy of opposing all legislation, state and federal, that would pre-empt the City’s authority to do anything.  </w:t>
        <w:br/>
        <w:br/>
        <w:t xml:space="preserve">HR 2289 is the reincarnation of </w:t>
      </w:r>
      <w:hyperlink r:id="rId4">
        <w:r>
          <w:rPr>
            <w:rStyle w:val="Hyperlink"/>
          </w:rPr>
          <w:t>HR 3557 from the previous Congress</w:t>
        </w:r>
      </w:hyperlink>
      <w:r>
        <w:rPr/>
        <w:t xml:space="preserve">.  </w:t>
      </w:r>
    </w:p>
    <w:p>
      <w:pPr>
        <w:pStyle w:val="Normal"/>
        <w:bidi w:val="0"/>
        <w:ind w:hanging="0" w:start="0"/>
        <w:jc w:val="start"/>
        <w:rPr/>
      </w:pPr>
      <w:r>
        <w:rPr/>
      </w:r>
    </w:p>
    <w:p>
      <w:pPr>
        <w:pStyle w:val="Normal"/>
        <w:bidi w:val="0"/>
        <w:jc w:val="start"/>
        <w:rPr/>
      </w:pPr>
      <w:r>
        <w:rPr/>
        <w:t xml:space="preserve">Calling this bill a ‘power grab’ doesn’t go far enough. It’s a historic transfer of decision-making from local government to telecommunications companies and the Federal Communications Commission, which frankly telecom controls </w:t>
      </w:r>
      <w:r>
        <w:rPr>
          <w:rStyle w:val="FootnoteReference"/>
        </w:rPr>
        <w:footnoteReference w:id="3"/>
      </w:r>
      <w:r>
        <w:rPr/>
        <w:t xml:space="preserve">- with virtually no guardrails.   It is a drastic revision of the Telecommunications Act of 1996 that elevates industry profits and priorities over public safety and democracy - all based on false claims. </w:t>
        <w:br/>
        <w:br/>
        <w:t>This legislation would undermine public safety, force local taxpayers to subsidize private corporations and disrupt the very broadband deployment progress it aims to accelerate.</w:t>
      </w:r>
    </w:p>
    <w:p>
      <w:pPr>
        <w:pStyle w:val="Normal"/>
        <w:bidi w:val="0"/>
        <w:jc w:val="start"/>
        <w:rPr/>
      </w:pPr>
      <w:r>
        <w:rPr/>
        <w:br/>
        <w:t>The predominant cause of broadband permitting delays is not local government – it is the</w:t>
      </w:r>
    </w:p>
    <w:p>
      <w:pPr>
        <w:pStyle w:val="Normal"/>
        <w:bidi w:val="0"/>
        <w:jc w:val="start"/>
        <w:rPr/>
      </w:pPr>
      <w:r>
        <w:rPr/>
        <w:t xml:space="preserve">federal permitting process. This Congress has already recognized that problem. The House passed bipartisan legislation to expedite and improve permitting by federal agencies and on federal lands, which will do far more to accelerate BEAD-funded projects than imposing rigid mandates on local governments. H.R. 2289 does not address the actual bottleneck and instead micromanages the level of government that is actively working to get broadband built. </w:t>
      </w:r>
    </w:p>
    <w:p>
      <w:pPr>
        <w:pStyle w:val="Normal"/>
        <w:bidi w:val="0"/>
        <w:jc w:val="start"/>
        <w:rPr/>
      </w:pPr>
      <w:r>
        <w:rPr/>
      </w:r>
    </w:p>
    <w:p>
      <w:pPr>
        <w:pStyle w:val="Normal"/>
        <w:bidi w:val="0"/>
        <w:jc w:val="start"/>
        <w:rPr/>
      </w:pPr>
      <w:r>
        <w:rPr>
          <w:b/>
        </w:rPr>
        <w:t>How HR 2289 would affect me</w:t>
      </w:r>
    </w:p>
    <w:p>
      <w:pPr>
        <w:pStyle w:val="Normal"/>
        <w:bidi w:val="0"/>
        <w:jc w:val="start"/>
        <w:rPr/>
      </w:pPr>
      <w:r>
        <w:rPr/>
        <w:br/>
        <w:t>(Explain how it would affect you if telecom were able to override your City’s laws and place a cell antenna right in front of your home such as on a City owned light pole, etc.  Headaches, nausea, fatigue, insomnia, etc.  Drive you out of your home.)</w:t>
      </w:r>
    </w:p>
    <w:p>
      <w:pPr>
        <w:pStyle w:val="BodyText"/>
        <w:tabs>
          <w:tab w:val="left" w:pos="709" w:leader="none"/>
        </w:tabs>
        <w:bidi w:val="0"/>
        <w:spacing w:lineRule="auto" w:line="276" w:before="0" w:after="0"/>
        <w:ind w:hanging="0" w:start="0" w:end="0"/>
        <w:jc w:val="start"/>
        <w:rPr>
          <w:b w:val="false"/>
          <w:bCs w:val="false"/>
        </w:rPr>
      </w:pPr>
      <w:r>
        <w:rPr>
          <w:b w:val="false"/>
          <w:bCs w:val="false"/>
        </w:rPr>
        <w:br/>
      </w:r>
      <w:r>
        <w:rPr>
          <w:b/>
          <w:bCs/>
        </w:rPr>
        <w:t>Current and proper role of local government in telecommunications expansion</w:t>
      </w:r>
      <w:r>
        <w:rPr>
          <w:b w:val="false"/>
          <w:bCs w:val="false"/>
        </w:rPr>
        <w:br/>
      </w:r>
    </w:p>
    <w:p>
      <w:pPr>
        <w:pStyle w:val="Normal"/>
        <w:bidi w:val="0"/>
        <w:jc w:val="start"/>
        <w:rPr>
          <w:rFonts w:ascii="Cambria" w:hAnsi="Cambria"/>
          <w:b w:val="false"/>
          <w:i w:val="false"/>
          <w:color w:val="000000"/>
          <w:sz w:val="24"/>
        </w:rPr>
      </w:pPr>
      <w:r>
        <w:rPr>
          <w:rFonts w:ascii="Cambria" w:hAnsi="Cambria"/>
          <w:b w:val="false"/>
          <w:i w:val="false"/>
          <w:color w:val="000000"/>
          <w:sz w:val="24"/>
        </w:rPr>
        <w:t>As you may know, local governments are extensively involved in the approval of wireless</w:t>
      </w:r>
    </w:p>
    <w:p>
      <w:pPr>
        <w:pStyle w:val="Normal"/>
        <w:bidi w:val="0"/>
        <w:jc w:val="start"/>
        <w:rPr>
          <w:rFonts w:ascii="Cambria" w:hAnsi="Cambria"/>
          <w:b w:val="false"/>
          <w:i w:val="false"/>
          <w:color w:val="000000"/>
          <w:sz w:val="24"/>
        </w:rPr>
      </w:pPr>
      <w:r>
        <w:rPr>
          <w:rFonts w:ascii="Cambria" w:hAnsi="Cambria"/>
          <w:b w:val="false"/>
          <w:i w:val="false"/>
          <w:color w:val="000000"/>
          <w:sz w:val="24"/>
        </w:rPr>
        <w:t>structures and facilities. In this regard, City Councils and Boards of Supervisors are elected to:</w:t>
        <w:br/>
      </w:r>
    </w:p>
    <w:p>
      <w:pPr>
        <w:pStyle w:val="Normal"/>
        <w:bidi w:val="0"/>
        <w:ind w:hanging="0" w:start="709"/>
        <w:jc w:val="start"/>
        <w:rPr>
          <w:rFonts w:ascii="Cambria" w:hAnsi="Cambria"/>
          <w:b w:val="false"/>
          <w:i w:val="false"/>
          <w:color w:val="000000"/>
          <w:sz w:val="24"/>
        </w:rPr>
      </w:pPr>
      <w:r>
        <w:rPr>
          <w:rFonts w:ascii="Cambria" w:hAnsi="Cambria"/>
          <w:b w:val="false"/>
          <w:i w:val="false"/>
          <w:color w:val="000000"/>
          <w:sz w:val="24"/>
        </w:rPr>
        <w:t>1. Serve the local community interests by ensuring that wireless telecommunication structures and facilities adhere to local land-use ordinances and zoning regulations; and</w:t>
        <w:br/>
      </w:r>
    </w:p>
    <w:p>
      <w:pPr>
        <w:pStyle w:val="Normal"/>
        <w:bidi w:val="0"/>
        <w:ind w:hanging="0" w:start="709"/>
        <w:jc w:val="start"/>
        <w:rPr>
          <w:rFonts w:ascii="Cambria" w:hAnsi="Cambria"/>
          <w:b w:val="false"/>
          <w:i w:val="false"/>
          <w:color w:val="000000"/>
          <w:sz w:val="24"/>
        </w:rPr>
      </w:pPr>
      <w:r>
        <w:rPr>
          <w:rFonts w:ascii="Cambria" w:hAnsi="Cambria"/>
          <w:b w:val="false"/>
          <w:i w:val="false"/>
          <w:color w:val="000000"/>
          <w:sz w:val="24"/>
        </w:rPr>
        <w:t>2. Provide final approval for wireless telecommunication facilities and structure proposals that may be controversial and/or may pose a local health and safety risk.</w:t>
      </w:r>
    </w:p>
    <w:p>
      <w:pPr>
        <w:pStyle w:val="Normal"/>
        <w:bidi w:val="0"/>
        <w:jc w:val="start"/>
        <w:rPr>
          <w:rFonts w:ascii="Cambria" w:hAnsi="Cambria"/>
          <w:b w:val="false"/>
          <w:i w:val="false"/>
          <w:color w:val="000000"/>
          <w:sz w:val="24"/>
        </w:rPr>
      </w:pPr>
      <w:r>
        <w:rPr>
          <w:rFonts w:ascii="Cambria" w:hAnsi="Cambria"/>
          <w:b w:val="false"/>
          <w:i w:val="false"/>
          <w:color w:val="000000"/>
          <w:sz w:val="24"/>
        </w:rPr>
        <w:br/>
        <w:t xml:space="preserve">Local elected leaders must evaluate proposals not simply as abstract deployments, but as physical structures placed near homes, schools, fire access roads, evacuation corridors, and critical </w:t>
      </w:r>
      <w:r>
        <w:rPr>
          <w:rFonts w:ascii="Cambria" w:hAnsi="Cambria"/>
          <w:b w:val="false"/>
          <w:bCs w:val="false"/>
          <w:i w:val="false"/>
          <w:color w:val="000000"/>
          <w:sz w:val="24"/>
        </w:rPr>
        <w:t>community assets.</w:t>
      </w:r>
    </w:p>
    <w:p>
      <w:pPr>
        <w:pStyle w:val="Normal"/>
        <w:tabs>
          <w:tab w:val="left" w:pos="709" w:leader="none"/>
        </w:tabs>
        <w:bidi w:val="0"/>
        <w:spacing w:lineRule="auto" w:line="276" w:before="0" w:after="0"/>
        <w:ind w:hanging="0" w:start="0" w:end="0"/>
        <w:jc w:val="start"/>
        <w:rPr>
          <w:rFonts w:ascii="Cambria" w:hAnsi="Cambria"/>
          <w:b w:val="false"/>
          <w:bCs w:val="false"/>
          <w:i w:val="false"/>
          <w:color w:val="000000"/>
          <w:sz w:val="24"/>
        </w:rPr>
      </w:pPr>
      <w:r>
        <w:rPr>
          <w:rFonts w:ascii="Cambria" w:hAnsi="Cambria"/>
          <w:b w:val="false"/>
          <w:bCs w:val="false"/>
          <w:i w:val="false"/>
          <w:color w:val="000000"/>
          <w:sz w:val="24"/>
        </w:rPr>
      </w:r>
    </w:p>
    <w:p>
      <w:pPr>
        <w:pStyle w:val="BodyText"/>
        <w:tabs>
          <w:tab w:val="left" w:pos="709" w:leader="none"/>
        </w:tabs>
        <w:bidi w:val="0"/>
        <w:spacing w:lineRule="auto" w:line="276" w:before="0" w:after="0"/>
        <w:ind w:hanging="0" w:start="0" w:end="0"/>
        <w:jc w:val="start"/>
        <w:rPr>
          <w:b w:val="false"/>
          <w:bCs w:val="false"/>
        </w:rPr>
      </w:pPr>
      <w:r>
        <w:rPr>
          <w:b/>
          <w:bCs/>
        </w:rPr>
        <w:t>HR 2289 would have these harmful effects:</w:t>
      </w:r>
    </w:p>
    <w:p>
      <w:pPr>
        <w:pStyle w:val="BodyText"/>
        <w:tabs>
          <w:tab w:val="left" w:pos="709" w:leader="none"/>
        </w:tabs>
        <w:bidi w:val="0"/>
        <w:spacing w:lineRule="auto" w:line="276" w:before="0" w:after="0"/>
        <w:ind w:hanging="0" w:start="0" w:end="0"/>
        <w:jc w:val="start"/>
        <w:rPr>
          <w:b w:val="false"/>
          <w:bCs w:val="false"/>
        </w:rPr>
      </w:pPr>
      <w:r>
        <w:rPr>
          <w:b w:val="false"/>
          <w:bCs w:val="false"/>
        </w:rPr>
      </w:r>
    </w:p>
    <w:tbl>
      <w:tblPr>
        <w:tblW w:w="5000" w:type="pct"/>
        <w:jc w:val="start"/>
        <w:tblInd w:w="0" w:type="dxa"/>
        <w:tblLayout w:type="fixed"/>
        <w:tblCellMar>
          <w:top w:w="0" w:type="dxa"/>
          <w:start w:w="0" w:type="dxa"/>
          <w:bottom w:w="0" w:type="dxa"/>
          <w:end w:w="0" w:type="dxa"/>
        </w:tblCellMar>
      </w:tblPr>
      <w:tblGrid>
        <w:gridCol w:w="2706"/>
        <w:gridCol w:w="6654"/>
      </w:tblGrid>
      <w:tr>
        <w:trPr/>
        <w:tc>
          <w:tcPr>
            <w:tcW w:w="2706"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Type</w:t>
            </w:r>
          </w:p>
        </w:tc>
        <w:tc>
          <w:tcPr>
            <w:tcW w:w="6654" w:type="dxa"/>
            <w:tcBorders/>
          </w:tcPr>
          <w:p>
            <w:pPr>
              <w:pStyle w:val="BodyText"/>
              <w:tabs>
                <w:tab w:val="left" w:pos="709" w:leader="none"/>
              </w:tabs>
              <w:bidi w:val="0"/>
              <w:spacing w:lineRule="auto" w:line="276" w:before="0" w:after="0"/>
              <w:ind w:hanging="0" w:start="0" w:end="0"/>
              <w:jc w:val="start"/>
              <w:rPr>
                <w:b w:val="false"/>
                <w:bCs w:val="false"/>
              </w:rPr>
            </w:pPr>
            <w:r>
              <w:rPr>
                <w:rFonts w:ascii="Times New Roman;serif" w:hAnsi="Times New Roman;serif"/>
                <w:b w:val="false"/>
                <w:bCs w:val="false"/>
                <w:color w:val="000000"/>
                <w:sz w:val="24"/>
                <w:shd w:fill="auto" w:val="clear"/>
              </w:rPr>
              <w:t>Description</w:t>
            </w:r>
          </w:p>
        </w:tc>
      </w:tr>
      <w:tr>
        <w:trPr/>
        <w:tc>
          <w:tcPr>
            <w:tcW w:w="2706"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City regulatory authority:</w:t>
            </w:r>
          </w:p>
        </w:tc>
        <w:tc>
          <w:tcPr>
            <w:tcW w:w="6654" w:type="dxa"/>
            <w:tcBorders/>
          </w:tcPr>
          <w:p>
            <w:pPr>
              <w:pStyle w:val="BodyText"/>
              <w:tabs>
                <w:tab w:val="left" w:pos="709" w:leader="none"/>
              </w:tabs>
              <w:bidi w:val="0"/>
              <w:spacing w:lineRule="auto" w:line="276" w:before="0" w:after="0"/>
              <w:ind w:hanging="0" w:start="0" w:end="0"/>
              <w:jc w:val="start"/>
              <w:rPr>
                <w:b w:val="false"/>
                <w:bCs w:val="false"/>
              </w:rPr>
            </w:pPr>
            <w:r>
              <w:rPr>
                <w:rFonts w:ascii="Times New Roman;serif" w:hAnsi="Times New Roman;serif"/>
                <w:b w:val="false"/>
                <w:bCs w:val="false"/>
                <w:color w:val="000000"/>
                <w:sz w:val="24"/>
                <w:shd w:fill="auto" w:val="clear"/>
              </w:rPr>
              <w:t>Virtually eliminate local zoning authority</w:t>
            </w:r>
          </w:p>
        </w:tc>
      </w:tr>
      <w:tr>
        <w:trPr/>
        <w:tc>
          <w:tcPr>
            <w:tcW w:w="2706"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Money:</w:t>
            </w:r>
          </w:p>
        </w:tc>
        <w:tc>
          <w:tcPr>
            <w:tcW w:w="6654"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Require the City to subsidize telecommunications companies</w:t>
            </w:r>
          </w:p>
        </w:tc>
      </w:tr>
      <w:tr>
        <w:trPr/>
        <w:tc>
          <w:tcPr>
            <w:tcW w:w="2706"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Safety:</w:t>
            </w:r>
          </w:p>
        </w:tc>
        <w:tc>
          <w:tcPr>
            <w:tcW w:w="6654"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Skip or rush safety approvals by “deemed approved” and “shot clock” rules</w:t>
            </w:r>
          </w:p>
        </w:tc>
      </w:tr>
      <w:tr>
        <w:trPr/>
        <w:tc>
          <w:tcPr>
            <w:tcW w:w="2706"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Accountability:</w:t>
            </w:r>
          </w:p>
        </w:tc>
        <w:tc>
          <w:tcPr>
            <w:tcW w:w="6654"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No input from affected residents or local government</w:t>
            </w:r>
          </w:p>
        </w:tc>
      </w:tr>
      <w:tr>
        <w:trPr/>
        <w:tc>
          <w:tcPr>
            <w:tcW w:w="2706"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Environmental protection:</w:t>
            </w:r>
          </w:p>
        </w:tc>
        <w:tc>
          <w:tcPr>
            <w:tcW w:w="6654" w:type="dxa"/>
            <w:tcBorders/>
          </w:tcPr>
          <w:p>
            <w:pPr>
              <w:pStyle w:val="BodyText"/>
              <w:tabs>
                <w:tab w:val="left" w:pos="709" w:leader="none"/>
              </w:tabs>
              <w:bidi w:val="0"/>
              <w:spacing w:lineRule="auto" w:line="276" w:before="0" w:after="0"/>
              <w:ind w:hanging="0" w:start="0" w:end="0"/>
              <w:jc w:val="start"/>
              <w:rPr>
                <w:b w:val="false"/>
                <w:bCs w:val="false"/>
              </w:rPr>
            </w:pPr>
            <w:r>
              <w:rPr>
                <w:rFonts w:ascii="Times New Roman;serif" w:hAnsi="Times New Roman;serif"/>
                <w:b w:val="false"/>
                <w:bCs w:val="false"/>
                <w:color w:val="000000"/>
                <w:sz w:val="24"/>
                <w:shd w:fill="auto" w:val="clear"/>
              </w:rPr>
              <w:t>Eliminate almost all environmental and historic preservation reviews</w:t>
            </w:r>
          </w:p>
        </w:tc>
      </w:tr>
      <w:tr>
        <w:trPr/>
        <w:tc>
          <w:tcPr>
            <w:tcW w:w="2706"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Permitting process:</w:t>
            </w:r>
          </w:p>
        </w:tc>
        <w:tc>
          <w:tcPr>
            <w:tcW w:w="6654"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Accelerate the irresponsible placement of cell towers / antennas</w:t>
            </w:r>
          </w:p>
        </w:tc>
      </w:tr>
      <w:tr>
        <w:trPr/>
        <w:tc>
          <w:tcPr>
            <w:tcW w:w="2706"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Aesthetics:</w:t>
            </w:r>
          </w:p>
        </w:tc>
        <w:tc>
          <w:tcPr>
            <w:tcW w:w="6654" w:type="dxa"/>
            <w:tcBorders/>
          </w:tcPr>
          <w:p>
            <w:pPr>
              <w:pStyle w:val="BodyText"/>
              <w:tabs>
                <w:tab w:val="left" w:pos="709" w:leader="none"/>
              </w:tabs>
              <w:bidi w:val="0"/>
              <w:spacing w:lineRule="auto" w:line="276" w:before="0" w:after="0"/>
              <w:ind w:hanging="0" w:start="0" w:end="0"/>
              <w:jc w:val="start"/>
              <w:rPr>
                <w:b w:val="false"/>
                <w:bCs w:val="false"/>
              </w:rPr>
            </w:pPr>
            <w:r>
              <w:rPr>
                <w:b w:val="false"/>
                <w:bCs w:val="false"/>
              </w:rPr>
              <w:t>Clutter up the aesthetics of City streets</w:t>
            </w:r>
          </w:p>
        </w:tc>
      </w:tr>
      <w:tr>
        <w:trPr/>
        <w:tc>
          <w:tcPr>
            <w:tcW w:w="2706" w:type="dxa"/>
            <w:tcBorders/>
          </w:tcPr>
          <w:p>
            <w:pPr>
              <w:pStyle w:val="Normal"/>
              <w:bidi w:val="0"/>
              <w:jc w:val="start"/>
              <w:rPr>
                <w:b w:val="false"/>
                <w:bCs w:val="false"/>
              </w:rPr>
            </w:pPr>
            <w:r>
              <w:rPr>
                <w:b w:val="false"/>
                <w:bCs w:val="false"/>
              </w:rPr>
              <w:t>Judicial review:</w:t>
            </w:r>
          </w:p>
        </w:tc>
        <w:tc>
          <w:tcPr>
            <w:tcW w:w="6654" w:type="dxa"/>
            <w:tcBorders/>
          </w:tcPr>
          <w:p>
            <w:pPr>
              <w:pStyle w:val="Normal"/>
              <w:bidi w:val="0"/>
              <w:jc w:val="start"/>
              <w:rPr>
                <w:b w:val="false"/>
                <w:bCs w:val="false"/>
              </w:rPr>
            </w:pPr>
            <w:r>
              <w:rPr>
                <w:rFonts w:ascii="Times New Roman;serif" w:hAnsi="Times New Roman;serif"/>
                <w:b w:val="false"/>
                <w:bCs w:val="false"/>
                <w:color w:val="000000"/>
                <w:sz w:val="24"/>
                <w:shd w:fill="auto" w:val="clear"/>
              </w:rPr>
              <w:t>State and federal courts subservient to FCC rules</w:t>
            </w:r>
          </w:p>
        </w:tc>
      </w:tr>
    </w:tbl>
    <w:p>
      <w:pPr>
        <w:pStyle w:val="BodyText"/>
        <w:tabs>
          <w:tab w:val="left" w:pos="709" w:leader="none"/>
        </w:tabs>
        <w:bidi w:val="0"/>
        <w:spacing w:lineRule="auto" w:line="276" w:before="0" w:after="0"/>
        <w:ind w:hanging="0" w:start="0" w:end="0"/>
        <w:jc w:val="start"/>
        <w:rPr>
          <w:b w:val="false"/>
          <w:bCs w:val="false"/>
        </w:rPr>
      </w:pPr>
      <w:r>
        <w:rPr>
          <w:b w:val="false"/>
          <w:bCs w:val="false"/>
        </w:rPr>
      </w:r>
    </w:p>
    <w:p>
      <w:pPr>
        <w:pStyle w:val="Normal"/>
        <w:bidi w:val="0"/>
        <w:ind w:hanging="0" w:start="0"/>
        <w:jc w:val="start"/>
        <w:rPr/>
      </w:pPr>
      <w:r>
        <w:rPr/>
        <w:br/>
        <w:t xml:space="preserve">HR 2289 would literally allow the construction of a 200 foot cell tower in your neighbor’s yard! </w:t>
        <w:br/>
      </w:r>
    </w:p>
    <w:p>
      <w:pPr>
        <w:pStyle w:val="Normal"/>
        <w:bidi w:val="0"/>
        <w:jc w:val="start"/>
        <w:rPr/>
      </w:pPr>
      <w:r>
        <w:rPr>
          <w:b/>
          <w:bCs/>
        </w:rPr>
        <w:t>Status of HR 2289:  down but not out</w:t>
      </w:r>
      <w:r>
        <w:rPr/>
        <w:br/>
      </w:r>
    </w:p>
    <w:p>
      <w:pPr>
        <w:pStyle w:val="Normal"/>
        <w:bidi w:val="0"/>
        <w:spacing w:before="0" w:after="283"/>
        <w:jc w:val="start"/>
        <w:rPr/>
      </w:pPr>
      <w:r>
        <w:rPr/>
        <w:t xml:space="preserve">Although the bill was pulled from the House agenda on April 20 </w:t>
      </w:r>
      <w:r>
        <w:rPr>
          <w:u w:val="single"/>
        </w:rPr>
        <w:t>this bill is not dead yet</w:t>
      </w:r>
      <w:r>
        <w:rPr/>
        <w:t xml:space="preserve">.  </w:t>
      </w:r>
    </w:p>
    <w:p>
      <w:pPr>
        <w:pStyle w:val="Normal"/>
        <w:bidi w:val="0"/>
        <w:spacing w:before="0" w:after="283"/>
        <w:jc w:val="start"/>
        <w:rPr/>
      </w:pPr>
      <w:r>
        <w:rPr/>
        <w:t xml:space="preserve">This page from Communications Daily, the so called </w:t>
      </w:r>
      <w:hyperlink r:id="rId5" w:tgtFrame="_blank">
        <w:r>
          <w:rPr>
            <w:rStyle w:val="Hyperlink"/>
          </w:rPr>
          <w:t>bible of the telecommunications industry</w:t>
        </w:r>
      </w:hyperlink>
      <w:r>
        <w:rPr/>
        <w:t>, says that Rep. Buddy Carter told an industry newsletter on April 20 he is confident that the House will bring back his bill HR 2289 in this session. </w:t>
      </w:r>
    </w:p>
    <w:p>
      <w:pPr>
        <w:pStyle w:val="BodyText"/>
        <w:bidi w:val="0"/>
        <w:spacing w:lineRule="auto" w:line="240" w:before="0" w:after="0"/>
        <w:ind w:hanging="0" w:start="0" w:end="0"/>
        <w:jc w:val="start"/>
        <w:rPr/>
      </w:pPr>
      <w:hyperlink r:id="rId6" w:tgtFrame="_blank">
        <w:r>
          <w:rPr>
            <w:rStyle w:val="Hyperlink"/>
            <w:color w:val="000080"/>
            <w:u w:val="single"/>
          </w:rPr>
          <w:t>https://communicationsdaily.com/news/2026/04/22/Carter-Confident-House-Will-Resurrect-American-Broadband-Deployment-Act-This-Congress-2604210062</w:t>
        </w:r>
      </w:hyperlink>
    </w:p>
    <w:p>
      <w:pPr>
        <w:pStyle w:val="Normal"/>
        <w:bidi w:val="0"/>
        <w:jc w:val="start"/>
        <w:rPr/>
      </w:pPr>
      <w:r>
        <w:rPr/>
      </w:r>
    </w:p>
    <w:p>
      <w:pPr>
        <w:pStyle w:val="Normal"/>
        <w:bidi w:val="0"/>
        <w:ind w:hanging="0" w:start="0"/>
        <w:jc w:val="start"/>
        <w:rPr/>
      </w:pPr>
      <w:r>
        <w:rPr/>
      </w:r>
    </w:p>
    <w:p>
      <w:pPr>
        <w:pStyle w:val="Normal"/>
        <w:bidi w:val="0"/>
        <w:jc w:val="start"/>
        <w:rPr>
          <w:b/>
          <w:bCs/>
        </w:rPr>
      </w:pPr>
      <w:r>
        <w:rPr>
          <w:b/>
          <w:bCs/>
        </w:rPr>
        <w:t>HR 2289 is opposed by:</w:t>
      </w:r>
    </w:p>
    <w:p>
      <w:pPr>
        <w:pStyle w:val="Normal"/>
        <w:bidi w:val="0"/>
        <w:jc w:val="start"/>
        <w:rPr/>
      </w:pPr>
      <w:r>
        <w:rPr/>
      </w:r>
    </w:p>
    <w:p>
      <w:pPr>
        <w:pStyle w:val="Normal"/>
        <w:bidi w:val="0"/>
        <w:ind w:hanging="0" w:start="709"/>
        <w:jc w:val="start"/>
        <w:rPr/>
      </w:pPr>
      <w:r>
        <w:rPr/>
        <w:t>U.S. Conference of Mayors</w:t>
      </w:r>
    </w:p>
    <w:p>
      <w:pPr>
        <w:pStyle w:val="Normal"/>
        <w:bidi w:val="0"/>
        <w:ind w:hanging="0" w:start="709"/>
        <w:jc w:val="start"/>
        <w:rPr/>
      </w:pPr>
      <w:r>
        <w:rPr/>
        <w:t xml:space="preserve">National League of Cities </w:t>
        <w:br/>
        <w:t xml:space="preserve">National Association of Counties </w:t>
        <w:br/>
        <w:t xml:space="preserve">The National Association of Telecommunications Officers and Advisors (NATOA) </w:t>
      </w:r>
    </w:p>
    <w:p>
      <w:pPr>
        <w:pStyle w:val="Normal"/>
        <w:bidi w:val="0"/>
        <w:jc w:val="start"/>
        <w:rPr/>
      </w:pPr>
      <w:r>
        <w:rPr/>
      </w:r>
    </w:p>
    <w:p>
      <w:pPr>
        <w:pStyle w:val="Normal"/>
        <w:bidi w:val="0"/>
        <w:jc w:val="start"/>
        <w:rPr/>
      </w:pPr>
      <w:hyperlink r:id="rId7">
        <w:r>
          <w:rPr>
            <w:rStyle w:val="Hyperlink"/>
          </w:rPr>
          <w:t>https://assets.noviams.com/novi-file-uploads/natoa/HR_2289_ABDA_Local_Gov_Assoc_Opposition-final3.pdf</w:t>
        </w:r>
      </w:hyperlink>
    </w:p>
    <w:p>
      <w:pPr>
        <w:pStyle w:val="Normal"/>
        <w:bidi w:val="0"/>
        <w:jc w:val="start"/>
        <w:rPr/>
      </w:pPr>
      <w:r>
        <w:rPr/>
        <w:t xml:space="preserve"> </w:t>
      </w:r>
    </w:p>
    <w:p>
      <w:pPr>
        <w:pStyle w:val="Normal"/>
        <w:bidi w:val="0"/>
        <w:ind w:hanging="0" w:start="0" w:end="0"/>
        <w:jc w:val="start"/>
        <w:rPr>
          <w:rFonts w:ascii="TimesNewRomanPSMT" w:hAnsi="TimesNewRomanPSMT"/>
          <w:b w:val="false"/>
          <w:sz w:val="24"/>
        </w:rPr>
      </w:pPr>
      <w:r>
        <w:rPr>
          <w:rFonts w:ascii="TimesNewRomanPSMT" w:hAnsi="TimesNewRomanPSMT"/>
          <w:b w:val="false"/>
          <w:sz w:val="24"/>
        </w:rPr>
        <w:t xml:space="preserve">Here is </w:t>
      </w:r>
      <w:hyperlink r:id="rId8" w:tgtFrame="_blank">
        <w:r>
          <w:rPr>
            <w:rStyle w:val="Hyperlink"/>
            <w:rFonts w:ascii="TimesNewRomanPSMT" w:hAnsi="TimesNewRomanPSMT"/>
            <w:b w:val="false"/>
            <w:sz w:val="24"/>
          </w:rPr>
          <w:t>NACO's Action message</w:t>
        </w:r>
      </w:hyperlink>
      <w:r>
        <w:rPr>
          <w:rFonts w:ascii="TimesNewRomanPSMT" w:hAnsi="TimesNewRomanPSMT"/>
          <w:b w:val="false"/>
          <w:sz w:val="24"/>
        </w:rPr>
        <w:t xml:space="preserve">.  </w:t>
      </w:r>
    </w:p>
    <w:p>
      <w:pPr>
        <w:pStyle w:val="Normal"/>
        <w:bidi w:val="0"/>
        <w:ind w:hanging="0" w:start="0" w:end="0"/>
        <w:jc w:val="start"/>
        <w:rPr>
          <w:rFonts w:ascii="TimesNewRomanPSMT" w:hAnsi="TimesNewRomanPSMT"/>
          <w:b w:val="false"/>
          <w:sz w:val="24"/>
        </w:rPr>
      </w:pPr>
      <w:r>
        <w:rPr>
          <w:rFonts w:ascii="TimesNewRomanPSMT" w:hAnsi="TimesNewRomanPSMT"/>
          <w:b w:val="false"/>
          <w:sz w:val="24"/>
        </w:rPr>
        <w:t>National League of Cities (NLC)</w:t>
      </w:r>
    </w:p>
    <w:p>
      <w:pPr>
        <w:pStyle w:val="Normal"/>
        <w:bidi w:val="0"/>
        <w:ind w:hanging="0" w:start="0" w:end="0"/>
        <w:jc w:val="start"/>
        <w:rPr/>
      </w:pPr>
      <w:r>
        <w:rPr>
          <w:rFonts w:ascii="TimesNewRomanPSMT" w:hAnsi="TimesNewRomanPSMT"/>
          <w:b w:val="false"/>
          <w:sz w:val="24"/>
        </w:rPr>
        <w:t xml:space="preserve">(See the </w:t>
      </w:r>
      <w:hyperlink r:id="rId9" w:tgtFrame="_blank">
        <w:r>
          <w:rPr>
            <w:rStyle w:val="Hyperlink"/>
            <w:rFonts w:ascii="TimesNewRomanPSMT" w:hAnsi="TimesNewRomanPSMT"/>
            <w:b w:val="false"/>
            <w:sz w:val="24"/>
          </w:rPr>
          <w:t>2026 National Municipal Policy,</w:t>
        </w:r>
      </w:hyperlink>
      <w:r>
        <w:rPr>
          <w:rFonts w:ascii="TimesNewRomanPSMT" w:hAnsi="TimesNewRomanPSMT"/>
          <w:b w:val="false"/>
          <w:sz w:val="24"/>
        </w:rPr>
        <w:t xml:space="preserve"> chapter 7.01 Local Control and Authority)  </w:t>
      </w:r>
      <w:r>
        <w:rPr/>
        <w:t xml:space="preserve"> </w:t>
      </w:r>
    </w:p>
    <w:p>
      <w:pPr>
        <w:pStyle w:val="Normal"/>
        <w:bidi w:val="0"/>
        <w:jc w:val="start"/>
        <w:rPr/>
      </w:pPr>
      <w:r>
        <w:rPr/>
        <w:br/>
      </w:r>
      <w:r>
        <w:rPr>
          <w:rFonts w:ascii="Times New Roman;serif" w:hAnsi="Times New Roman;serif"/>
          <w:b/>
          <w:sz w:val="24"/>
        </w:rPr>
        <w:t>Thousands of studies show cell tower / antenna / phone radiation is harmful </w:t>
      </w:r>
    </w:p>
    <w:p>
      <w:pPr>
        <w:pStyle w:val="Normal"/>
        <w:bidi w:val="0"/>
        <w:ind w:hanging="0" w:start="0" w:end="0"/>
        <w:jc w:val="start"/>
        <w:rPr>
          <w:rFonts w:ascii="Times New Roman;serif" w:hAnsi="Times New Roman;serif"/>
          <w:sz w:val="24"/>
        </w:rPr>
      </w:pPr>
      <w:r>
        <w:rPr>
          <w:rFonts w:ascii="Times New Roman;serif" w:hAnsi="Times New Roman;serif"/>
          <w:sz w:val="24"/>
        </w:rPr>
      </w:r>
    </w:p>
    <w:p>
      <w:pPr>
        <w:pStyle w:val="Normal"/>
        <w:bidi w:val="0"/>
        <w:ind w:hanging="0" w:start="0" w:end="0"/>
        <w:jc w:val="start"/>
        <w:rPr/>
      </w:pPr>
      <w:r>
        <w:rPr>
          <w:rFonts w:ascii="Times New Roman;serif" w:hAnsi="Times New Roman;serif"/>
          <w:sz w:val="24"/>
        </w:rPr>
        <w:t>Thousands of studies have found serious adverse health effects, from headaches to cancer, caused by exposure to radiation from cell antennas, cell towers, etc. See for example:</w:t>
        <w:br/>
      </w:r>
      <w:r>
        <w:rPr>
          <w:rFonts w:ascii="Times New Roman;serif" w:hAnsi="Times New Roman;serif"/>
          <w:sz w:val="24"/>
          <w:szCs w:val="24"/>
        </w:rPr>
        <w:br/>
      </w:r>
      <w:hyperlink r:id="rId10" w:tgtFrame="_blank">
        <w:r>
          <w:rPr>
            <w:rStyle w:val="Hyperlink"/>
            <w:rFonts w:ascii="Times New Roman;serif" w:hAnsi="Times New Roman;serif"/>
            <w:sz w:val="24"/>
            <w:szCs w:val="24"/>
          </w:rPr>
          <w:t>Childrens Health Defense</w:t>
        </w:r>
      </w:hyperlink>
      <w:r>
        <w:rPr>
          <w:rFonts w:ascii="Times New Roman;serif" w:hAnsi="Times New Roman;serif"/>
          <w:sz w:val="24"/>
          <w:szCs w:val="24"/>
        </w:rPr>
        <w:t> </w:t>
        <w:br/>
        <w:br/>
      </w:r>
      <w:hyperlink r:id="rId11" w:tgtFrame="_blank">
        <w:r>
          <w:rPr>
            <w:rStyle w:val="Hyperlink"/>
            <w:rFonts w:ascii="Times New Roman;serif" w:hAnsi="Times New Roman;serif"/>
            <w:sz w:val="24"/>
            <w:szCs w:val="24"/>
          </w:rPr>
          <w:t>Environmental Health Trust</w:t>
        </w:r>
      </w:hyperlink>
      <w:r>
        <w:rPr>
          <w:rFonts w:ascii="Times New Roman;serif" w:hAnsi="Times New Roman;serif"/>
          <w:sz w:val="24"/>
          <w:szCs w:val="24"/>
        </w:rPr>
        <w:t> </w:t>
      </w:r>
    </w:p>
    <w:p>
      <w:pPr>
        <w:pStyle w:val="Normal"/>
        <w:bidi w:val="0"/>
        <w:ind w:hanging="0" w:start="0" w:end="0"/>
        <w:jc w:val="start"/>
        <w:rPr>
          <w:rFonts w:ascii="Times New Roman;serif" w:hAnsi="Times New Roman;serif"/>
          <w:sz w:val="24"/>
          <w:szCs w:val="24"/>
        </w:rPr>
      </w:pPr>
      <w:r>
        <w:rPr>
          <w:rFonts w:ascii="Times New Roman;serif" w:hAnsi="Times New Roman;serif"/>
          <w:sz w:val="24"/>
          <w:szCs w:val="24"/>
        </w:rPr>
      </w:r>
    </w:p>
    <w:p>
      <w:pPr>
        <w:pStyle w:val="Normal"/>
        <w:bidi w:val="0"/>
        <w:ind w:hanging="0" w:start="0" w:end="0"/>
        <w:jc w:val="start"/>
        <w:rPr/>
      </w:pPr>
      <w:hyperlink r:id="rId12" w:tgtFrame="_blank">
        <w:r>
          <w:rPr>
            <w:rStyle w:val="Hyperlink"/>
            <w:rFonts w:ascii="Times New Roman;serif" w:hAnsi="Times New Roman;serif"/>
            <w:sz w:val="24"/>
            <w:szCs w:val="24"/>
          </w:rPr>
          <w:t>SaferEMR</w:t>
        </w:r>
      </w:hyperlink>
      <w:r>
        <w:rPr>
          <w:rFonts w:ascii="Times New Roman;serif" w:hAnsi="Times New Roman;serif"/>
          <w:sz w:val="24"/>
          <w:szCs w:val="24"/>
        </w:rPr>
        <w:t> </w:t>
      </w:r>
    </w:p>
    <w:p>
      <w:pPr>
        <w:pStyle w:val="Normal"/>
        <w:bidi w:val="0"/>
        <w:ind w:hanging="0" w:start="0" w:end="0"/>
        <w:jc w:val="start"/>
        <w:rPr>
          <w:rFonts w:ascii="Times New Roman;serif" w:hAnsi="Times New Roman;serif"/>
          <w:sz w:val="24"/>
          <w:szCs w:val="24"/>
        </w:rPr>
      </w:pPr>
      <w:r>
        <w:rPr>
          <w:rFonts w:ascii="Times New Roman;serif" w:hAnsi="Times New Roman;serif"/>
          <w:sz w:val="24"/>
          <w:szCs w:val="24"/>
        </w:rPr>
      </w:r>
    </w:p>
    <w:p>
      <w:pPr>
        <w:pStyle w:val="Normal"/>
        <w:bidi w:val="0"/>
        <w:ind w:hanging="0" w:start="0" w:end="0"/>
        <w:jc w:val="start"/>
        <w:rPr>
          <w:rFonts w:ascii="Times New Roman;serif" w:hAnsi="Times New Roman;serif"/>
          <w:sz w:val="24"/>
          <w:szCs w:val="24"/>
        </w:rPr>
      </w:pPr>
      <w:r>
        <w:rPr>
          <w:rFonts w:ascii="Times New Roman;serif" w:hAnsi="Times New Roman;serif"/>
          <w:sz w:val="24"/>
          <w:szCs w:val="24"/>
        </w:rPr>
        <w:t xml:space="preserve">The SaferEMR site is produced by Joel M. Moskowitz, Ph.D.,  the Director of the School of Public Health at UC Berkeley. </w:t>
      </w:r>
    </w:p>
    <w:p>
      <w:pPr>
        <w:pStyle w:val="Normal"/>
        <w:bidi w:val="0"/>
        <w:ind w:hanging="0" w:start="0" w:end="0"/>
        <w:jc w:val="start"/>
        <w:rPr>
          <w:rFonts w:ascii="Times New Roman;serif" w:hAnsi="Times New Roman;serif"/>
          <w:sz w:val="28"/>
        </w:rPr>
      </w:pPr>
      <w:r>
        <w:rPr>
          <w:rFonts w:ascii="Times New Roman;serif" w:hAnsi="Times New Roman;serif"/>
          <w:sz w:val="28"/>
        </w:rPr>
      </w:r>
    </w:p>
    <w:p>
      <w:pPr>
        <w:pStyle w:val="Normal"/>
        <w:bidi w:val="0"/>
        <w:ind w:hanging="0" w:start="0" w:end="0"/>
        <w:jc w:val="start"/>
        <w:rPr/>
      </w:pPr>
      <w:r>
        <w:rPr>
          <w:rFonts w:ascii="Times New Roman;serif" w:hAnsi="Times New Roman;serif"/>
          <w:sz w:val="24"/>
        </w:rPr>
        <w:t>These adverse health effects occur at currently legal exposure amounts and also orders of magnitude lower.  Such as radiation 1/100 or 1/1,000 or 1/10,000 of the FCC limits.  That is the point of the following charts. </w:t>
      </w:r>
    </w:p>
    <w:p>
      <w:pPr>
        <w:pStyle w:val="Normal"/>
        <w:bidi w:val="0"/>
        <w:jc w:val="start"/>
        <w:rPr/>
      </w:pPr>
      <w:r>
        <w:rPr/>
      </w:r>
    </w:p>
    <w:p>
      <w:pPr>
        <w:pStyle w:val="Normal"/>
        <w:bidi w:val="0"/>
        <w:jc w:val="start"/>
        <w:rPr/>
      </w:pPr>
      <w:r>
        <w:rPr/>
        <w:t xml:space="preserve">These </w:t>
      </w:r>
      <w:hyperlink r:id="rId13" w:tgtFrame="_blank">
        <w:r>
          <w:rPr>
            <w:rStyle w:val="Hyperlink"/>
          </w:rPr>
          <w:t>color charts from the BioInitiative 2012 report</w:t>
        </w:r>
      </w:hyperlink>
      <w:r>
        <w:rPr/>
        <w:t xml:space="preserve"> show some of the studies on this. </w:t>
      </w:r>
    </w:p>
    <w:p>
      <w:pPr>
        <w:pStyle w:val="Normal"/>
        <w:bidi w:val="0"/>
        <w:jc w:val="start"/>
        <w:rPr/>
      </w:pPr>
      <w:r>
        <w:rPr/>
        <w:t>HR 2289 is the current incarnation of HR 3357 from the previous Congress.</w:t>
      </w:r>
    </w:p>
    <w:p>
      <w:pPr>
        <w:pStyle w:val="Normal"/>
        <w:bidi w:val="0"/>
        <w:jc w:val="start"/>
        <w:rPr/>
      </w:pPr>
      <w:r>
        <w:rPr/>
      </w:r>
    </w:p>
    <w:p>
      <w:pPr>
        <w:pStyle w:val="Normal"/>
        <w:bidi w:val="0"/>
        <w:jc w:val="start"/>
        <w:rPr>
          <w:rFonts w:ascii="Times New Roman;serif" w:hAnsi="Times New Roman;serif"/>
          <w:b/>
          <w:sz w:val="24"/>
        </w:rPr>
      </w:pPr>
      <w:r>
        <w:rPr>
          <w:rFonts w:ascii="Times New Roman;serif" w:hAnsi="Times New Roman;serif"/>
          <w:b/>
          <w:sz w:val="24"/>
        </w:rPr>
        <w:t>The Telecommunications Act of 1996 preserves local zoning authority; HR 2289 will remove it.</w:t>
      </w:r>
    </w:p>
    <w:p>
      <w:pPr>
        <w:pStyle w:val="Normal"/>
        <w:bidi w:val="0"/>
        <w:ind w:hanging="0" w:start="0" w:end="0"/>
        <w:jc w:val="start"/>
        <w:rPr>
          <w:rFonts w:ascii="Times New Roman;serif" w:hAnsi="Times New Roman;serif"/>
          <w:sz w:val="24"/>
        </w:rPr>
      </w:pPr>
      <w:r>
        <w:rPr>
          <w:rFonts w:ascii="Times New Roman;serif" w:hAnsi="Times New Roman;serif"/>
          <w:sz w:val="24"/>
        </w:rPr>
        <w:br/>
        <w:t xml:space="preserve">Local zoning authority comes from the State Constitution.  </w:t>
        <w:br/>
      </w:r>
    </w:p>
    <w:p>
      <w:pPr>
        <w:pStyle w:val="Normal"/>
        <w:bidi w:val="0"/>
        <w:spacing w:before="0" w:after="283"/>
        <w:ind w:hanging="0" w:start="0" w:end="0"/>
        <w:jc w:val="start"/>
        <w:rPr>
          <w:rFonts w:ascii="Times New Roman;serif" w:hAnsi="Times New Roman;serif"/>
          <w:sz w:val="24"/>
        </w:rPr>
      </w:pPr>
      <w:r>
        <w:rPr>
          <w:rFonts w:ascii="Times New Roman;serif" w:hAnsi="Times New Roman;serif"/>
          <w:sz w:val="24"/>
        </w:rPr>
        <w:t xml:space="preserve">The Telecommunications Act of 1996 (TCA)  generally and broadly preserves local zoning authority. (§704 (a)(7)(A))  As of today the City can still set permit requirements and regulate placement of cell antennas and towers based on aesthetics, fire hazard, and other safety concerns. </w:t>
      </w:r>
    </w:p>
    <w:p>
      <w:pPr>
        <w:pStyle w:val="Normal"/>
        <w:bidi w:val="0"/>
        <w:jc w:val="start"/>
        <w:rPr>
          <w:b/>
          <w:bCs/>
        </w:rPr>
      </w:pPr>
      <w:r>
        <w:rPr>
          <w:b/>
          <w:bCs/>
        </w:rPr>
        <w:t>Conclusion</w:t>
      </w:r>
    </w:p>
    <w:p>
      <w:pPr>
        <w:pStyle w:val="Normal"/>
        <w:bidi w:val="0"/>
        <w:jc w:val="start"/>
        <w:rPr/>
      </w:pPr>
      <w:r>
        <w:rPr/>
      </w:r>
    </w:p>
    <w:p>
      <w:pPr>
        <w:pStyle w:val="BodyText"/>
        <w:bidi w:val="0"/>
        <w:spacing w:before="0" w:after="0"/>
        <w:ind w:hanging="0" w:start="0" w:end="0"/>
        <w:jc w:val="start"/>
        <w:rPr>
          <w:rFonts w:ascii="Times New Roman;serif" w:hAnsi="Times New Roman;serif"/>
          <w:sz w:val="24"/>
        </w:rPr>
      </w:pPr>
      <w:r>
        <w:rPr>
          <w:rFonts w:ascii="Times New Roman;serif" w:hAnsi="Times New Roman;serif"/>
          <w:sz w:val="24"/>
        </w:rPr>
        <w:t xml:space="preserve">Mayor, Council and staff, telecommunications policy and law are complicated.  The influence of money in politics is nowhere more apparent than in telecommunications policy.  As of today the City has a voice but HR 2289 would take that voice away. </w:t>
        <w:br/>
        <w:br/>
        <w:t xml:space="preserve">You may have received a sample letter from the National League of Cities.  Please use it!  Contact the City’s Representatives and the Speaker and Minority Leader of the House of Representatives. </w:t>
        <w:br/>
        <w:br/>
        <w:t xml:space="preserve">Feel free to ask me any questions.  </w:t>
        <w:br/>
        <w:br/>
        <w:t xml:space="preserve">Please reply at your earliest convenience. </w:t>
        <w:br/>
        <w:br/>
        <w:t xml:space="preserve">Sincerely, </w:t>
        <w:br/>
        <w:br/>
      </w:r>
      <w:r>
        <w:rPr/>
        <w:t xml:space="preserve">(Your name and, if you choose, your address.  You have already said that you are a City resident.) </w:t>
      </w:r>
      <w:r>
        <w:rPr>
          <w:rFonts w:ascii="Times New Roman;serif" w:hAnsi="Times New Roman;serif"/>
          <w:sz w:val="24"/>
        </w:rPr>
        <w:br/>
        <w:br/>
        <w:t>P.S.  For more information</w:t>
      </w:r>
    </w:p>
    <w:p>
      <w:pPr>
        <w:pStyle w:val="Normal"/>
        <w:tabs>
          <w:tab w:val="left" w:pos="709" w:leader="none"/>
        </w:tabs>
        <w:bidi w:val="0"/>
        <w:spacing w:lineRule="auto" w:line="276" w:before="0" w:after="0"/>
        <w:ind w:hanging="0" w:start="0" w:end="0"/>
        <w:jc w:val="start"/>
        <w:rPr/>
      </w:pPr>
      <w:r>
        <w:rPr/>
      </w:r>
    </w:p>
    <w:p>
      <w:pPr>
        <w:pStyle w:val="BodyText"/>
        <w:numPr>
          <w:ilvl w:val="0"/>
          <w:numId w:val="0"/>
        </w:numPr>
        <w:tabs>
          <w:tab w:val="left" w:pos="709" w:leader="none"/>
        </w:tabs>
        <w:bidi w:val="0"/>
        <w:spacing w:lineRule="auto" w:line="276" w:before="0" w:after="0"/>
        <w:ind w:hanging="0" w:start="0" w:end="0"/>
        <w:jc w:val="start"/>
        <w:rPr/>
      </w:pPr>
      <w:r>
        <w:rPr>
          <w:rFonts w:ascii="Times New Roman;serif" w:hAnsi="Times New Roman;serif"/>
          <w:b w:val="false"/>
          <w:color w:val="000000"/>
          <w:sz w:val="24"/>
          <w:shd w:fill="auto" w:val="clear"/>
        </w:rPr>
        <w:t>See </w:t>
      </w:r>
      <w:hyperlink r:id="rId14" w:tgtFrame="_blank">
        <w:r>
          <w:rPr>
            <w:rStyle w:val="Hyperlink"/>
            <w:rFonts w:ascii="Times New Roman;serif" w:hAnsi="Times New Roman;serif"/>
            <w:b w:val="false"/>
            <w:color w:val="FD570D"/>
            <w:sz w:val="24"/>
            <w:u w:val="single"/>
            <w:shd w:fill="auto" w:val="clear"/>
          </w:rPr>
          <w:t>EHT factsheet</w:t>
        </w:r>
      </w:hyperlink>
      <w:r>
        <w:rPr>
          <w:color w:val="000000"/>
          <w:sz w:val="24"/>
          <w:shd w:fill="auto" w:val="clear"/>
        </w:rPr>
        <w:t> </w:t>
      </w:r>
      <w:r>
        <w:rPr>
          <w:rFonts w:ascii="Times New Roman;serif" w:hAnsi="Times New Roman;serif"/>
          <w:b w:val="false"/>
          <w:color w:val="000000"/>
          <w:sz w:val="24"/>
          <w:shd w:fill="auto" w:val="clear"/>
        </w:rPr>
        <w:t>on HR 3557 from the prior Congress (which was nearly identical to HR 2289)</w:t>
      </w:r>
    </w:p>
    <w:p>
      <w:pPr>
        <w:pStyle w:val="BodyText"/>
        <w:numPr>
          <w:ilvl w:val="0"/>
          <w:numId w:val="0"/>
        </w:numPr>
        <w:tabs>
          <w:tab w:val="left" w:pos="709" w:leader="none"/>
        </w:tabs>
        <w:bidi w:val="0"/>
        <w:spacing w:lineRule="auto" w:line="276" w:before="0" w:after="0"/>
        <w:ind w:hanging="0" w:start="0" w:end="0"/>
        <w:jc w:val="start"/>
        <w:rPr>
          <w:rFonts w:ascii="Times New Roman;serif" w:hAnsi="Times New Roman;serif"/>
          <w:b w:val="false"/>
          <w:color w:val="000000"/>
          <w:sz w:val="24"/>
          <w:shd w:fill="auto" w:val="clear"/>
        </w:rPr>
      </w:pPr>
      <w:r>
        <w:rPr>
          <w:rFonts w:ascii="Times New Roman;serif" w:hAnsi="Times New Roman;serif"/>
          <w:b w:val="false"/>
          <w:color w:val="000000"/>
          <w:sz w:val="24"/>
          <w:shd w:fill="auto" w:val="clear"/>
        </w:rPr>
      </w:r>
    </w:p>
    <w:p>
      <w:pPr>
        <w:pStyle w:val="BodyText"/>
        <w:numPr>
          <w:ilvl w:val="0"/>
          <w:numId w:val="0"/>
        </w:numPr>
        <w:tabs>
          <w:tab w:val="left" w:pos="709" w:leader="none"/>
        </w:tabs>
        <w:bidi w:val="0"/>
        <w:spacing w:lineRule="auto" w:line="276" w:before="0" w:after="0"/>
        <w:ind w:hanging="0" w:start="0" w:end="0"/>
        <w:jc w:val="start"/>
        <w:rPr/>
      </w:pPr>
      <w:hyperlink r:id="rId15" w:tgtFrame="_blank">
        <w:r>
          <w:rPr>
            <w:rStyle w:val="Hyperlink"/>
            <w:rFonts w:ascii="Times New Roman;serif" w:hAnsi="Times New Roman;serif"/>
            <w:b w:val="false"/>
            <w:color w:val="FD570D"/>
            <w:sz w:val="24"/>
            <w:u w:val="single"/>
            <w:shd w:fill="auto" w:val="clear"/>
          </w:rPr>
          <w:t>Watch the webinar</w:t>
        </w:r>
      </w:hyperlink>
      <w:r>
        <w:rPr>
          <w:color w:val="000000"/>
          <w:sz w:val="24"/>
          <w:shd w:fill="auto" w:val="clear"/>
        </w:rPr>
        <w:t> </w:t>
      </w:r>
      <w:r>
        <w:rPr>
          <w:rFonts w:ascii="Times New Roman;serif" w:hAnsi="Times New Roman;serif"/>
          <w:b w:val="false"/>
          <w:color w:val="000000"/>
          <w:sz w:val="24"/>
          <w:shd w:fill="auto" w:val="clear"/>
        </w:rPr>
        <w:t>with leading attorneys Scott McCollough, Andrew Campanelli, Julian Gresser, and Odette Wilkens</w:t>
      </w:r>
    </w:p>
    <w:p>
      <w:pPr>
        <w:pStyle w:val="Normal"/>
        <w:bidi w:val="0"/>
        <w:jc w:val="start"/>
        <w:rPr>
          <w:b w:val="false"/>
          <w:bCs w:val="false"/>
        </w:rPr>
      </w:pPr>
      <w:r>
        <w:rPr>
          <w:b w:val="false"/>
          <w:bCs w:val="false"/>
        </w:rPr>
        <w:br/>
      </w:r>
    </w:p>
    <w:p>
      <w:pPr>
        <w:pStyle w:val="Normal"/>
        <w:bidi w:val="0"/>
        <w:ind w:hanging="0" w:start="709"/>
        <w:jc w:val="start"/>
        <w:rPr/>
      </w:pPr>
      <w:r>
        <w:rPr/>
        <w:br/>
      </w:r>
    </w:p>
    <w:p>
      <w:pPr>
        <w:pStyle w:val="Normal"/>
        <w:bidi w:val="0"/>
        <w:jc w:val="start"/>
        <w:rPr>
          <w:b/>
          <w:bCs/>
        </w:rPr>
      </w:pPr>
      <w:r>
        <w:rPr>
          <w:b/>
          <w:bCs/>
        </w:rPr>
      </w:r>
    </w:p>
    <w:p>
      <w:pPr>
        <w:pStyle w:val="Normal"/>
        <w:bidi w:val="0"/>
        <w:jc w:val="start"/>
        <w:rPr/>
      </w:pPr>
      <w:r>
        <w:rPr/>
      </w:r>
    </w:p>
    <w:p>
      <w:pPr>
        <w:pStyle w:val="Normal"/>
        <w:bidi w:val="0"/>
        <w:jc w:val="start"/>
        <w:rPr/>
      </w:pPr>
      <w:r>
        <w:rPr/>
      </w:r>
    </w:p>
    <w:p>
      <w:pPr>
        <w:pStyle w:val="Normal"/>
        <w:bidi w:val="0"/>
        <w:jc w:val="start"/>
        <w:rPr/>
      </w:pPr>
      <w:r>
        <w:rPr/>
      </w:r>
    </w:p>
    <w:sectPr>
      <w:footnotePr>
        <w:numFmt w:val="decimal"/>
      </w:footnotePr>
      <w:type w:val="nextPage"/>
      <w:pgSz w:w="12240" w:h="15840"/>
      <w:pgMar w:left="1440" w:right="1440" w:gutter="0" w:header="0" w:top="1440" w:footer="0" w:bottom="144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mbria">
    <w:charset w:val="00" w:characterSet="windows-1252"/>
    <w:family w:val="roman"/>
    <w:pitch w:val="variable"/>
  </w:font>
  <w:font w:name="Times New Roman">
    <w:altName w:val="serif"/>
    <w:charset w:val="00" w:characterSet="windows-1252"/>
    <w:family w:val="roman"/>
    <w:pitch w:val="variable"/>
  </w:font>
  <w:font w:name="TimesNewRomanPSMT">
    <w:charset w:val="00" w:characterSet="windows-1252"/>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340" w:start="340"/>
        <w:jc w:val="start"/>
        <w:rPr/>
      </w:pPr>
      <w:r>
        <w:rPr>
          <w:rStyle w:val="FootnoteCharacters"/>
        </w:rPr>
        <w:footnoteRef/>
      </w:r>
      <w:r>
        <w:rPr>
          <w:sz w:val="24"/>
          <w:szCs w:val="24"/>
        </w:rPr>
        <w:tab/>
        <w:t xml:space="preserve"> </w:t>
      </w:r>
      <w:r>
        <w:rPr>
          <w:sz w:val="24"/>
          <w:szCs w:val="24"/>
        </w:rPr>
        <w:t xml:space="preserve">According to Joel M. Moskowitz, Ph.D., School of Public Health, University of California, Berkeley </w:t>
      </w:r>
      <w:hyperlink r:id="rId1">
        <w:r>
          <w:rPr>
            <w:rStyle w:val="Hyperlink"/>
            <w:sz w:val="24"/>
            <w:szCs w:val="24"/>
          </w:rPr>
          <w:t>https://www.saferemr.com/</w:t>
        </w:r>
      </w:hyperlink>
      <w:r>
        <w:rPr>
          <w:sz w:val="24"/>
          <w:szCs w:val="24"/>
        </w:rPr>
        <w:t xml:space="preserve"> </w:t>
      </w:r>
    </w:p>
  </w:footnote>
  <w:footnote w:id="3">
    <w:p>
      <w:pPr>
        <w:pStyle w:val="FootnoteText"/>
        <w:suppressLineNumbers/>
        <w:bidi w:val="0"/>
        <w:ind w:hanging="340" w:start="340"/>
        <w:jc w:val="start"/>
        <w:rPr/>
      </w:pPr>
      <w:r>
        <w:rPr>
          <w:rStyle w:val="FootnoteCharacters"/>
        </w:rPr>
        <w:footnoteRef/>
      </w:r>
      <w:r>
        <w:rPr>
          <w:sz w:val="24"/>
          <w:szCs w:val="24"/>
        </w:rPr>
        <w:tab/>
        <w:t xml:space="preserve"> </w:t>
      </w:r>
      <w:r>
        <w:rPr>
          <w:sz w:val="24"/>
          <w:szCs w:val="24"/>
        </w:rPr>
        <w:t xml:space="preserve">See for example Captured Agency: How the Federal Communications Commission Is Dominated by the Industries It Presumably Regulates </w:t>
      </w:r>
      <w:hyperlink r:id="rId2">
        <w:r>
          <w:rPr>
            <w:rStyle w:val="Hyperlink"/>
            <w:sz w:val="24"/>
            <w:szCs w:val="24"/>
          </w:rPr>
          <w:t>https://www.ethics.harvard.edu/publications/captured-agency-how-federal-communications-commission-dominated</w:t>
        </w:r>
      </w:hyperlink>
      <w:r>
        <w:rPr>
          <w:sz w:val="24"/>
          <w:szCs w:val="24"/>
        </w:rPr>
        <w:t xml:space="preserve"> </w:t>
      </w:r>
    </w:p>
  </w:footnote>
</w:footnotes>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character" w:styleId="Hyperlink">
    <w:name w:val="Hyperlink"/>
    <w:rPr>
      <w:color w:val="000080"/>
      <w:u w:val="single"/>
    </w:rPr>
  </w:style>
  <w:style w:type="character" w:styleId="FollowedHyperlink">
    <w:name w:val="FollowedHyperlink"/>
    <w:rPr>
      <w:color w:val="800000"/>
      <w:u w:val="single"/>
    </w:rPr>
  </w:style>
  <w:style w:type="character" w:styleId="FootnoteCharacters">
    <w:name w:val="Footnote Characters"/>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ootnoteText">
    <w:name w:val="footnote text"/>
    <w:basedOn w:val="Normal"/>
    <w:pPr>
      <w:suppressLineNumbers/>
      <w:ind w:hanging="340" w:start="34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gress.gov/bill/119th-congress/house-bill/2289?hl=hr+2289+american+broadband+deployment&amp;s=3&amp;r=2" TargetMode="External"/><Relationship Id="rId3" Type="http://schemas.openxmlformats.org/officeDocument/2006/relationships/hyperlink" Target="https://www.congress.gov/bill/119th-congress/house-bill/2289?hl=hr+2289&amp;s=1&amp;r=1" TargetMode="External"/><Relationship Id="rId4" Type="http://schemas.openxmlformats.org/officeDocument/2006/relationships/hyperlink" Target="https://www.congress.gov/bill/118th-congress/house-bill/3557?hl=hr+3557+american+broadband+deployment&amp;s=2&amp;r=3" TargetMode="External"/><Relationship Id="rId5" Type="http://schemas.openxmlformats.org/officeDocument/2006/relationships/hyperlink" Target="https://communicationsdaily.com/about" TargetMode="External"/><Relationship Id="rId6" Type="http://schemas.openxmlformats.org/officeDocument/2006/relationships/hyperlink" Target="https://communicationsdaily.com/news/2026/04/22/Carter-Confident-House-Will-Resurrect-American-Broadband-Deployment-Act-This-Congress-2604210062" TargetMode="External"/><Relationship Id="rId7" Type="http://schemas.openxmlformats.org/officeDocument/2006/relationships/hyperlink" Target="https://assets.noviams.com/novi-file-uploads/natoa/HR_2289_ABDA_Local_Gov_Assoc_Opposition-final3.pdf" TargetMode="External"/><Relationship Id="rId8" Type="http://schemas.openxmlformats.org/officeDocument/2006/relationships/hyperlink" Target="https://www.naco.org/resource/oppose-preemption-local-broadband-permitting-authorities" TargetMode="External"/><Relationship Id="rId9" Type="http://schemas.openxmlformats.org/officeDocument/2006/relationships/hyperlink" Target="https://www.nlc.org/wp-content/uploads/2026/01/2026-National-Municipal-Policy-1.9.2026.pdf" TargetMode="External"/><Relationship Id="rId10" Type="http://schemas.openxmlformats.org/officeDocument/2006/relationships/hyperlink" Target="https://childrenshealthdefense.org/electromagnetic-radiation-wireless/" TargetMode="External"/><Relationship Id="rId11" Type="http://schemas.openxmlformats.org/officeDocument/2006/relationships/hyperlink" Target="https://ehtrust.org/liability-and-risk-from-5g-and-cell-towers/" TargetMode="External"/><Relationship Id="rId12" Type="http://schemas.openxmlformats.org/officeDocument/2006/relationships/hyperlink" Target="https://www.saferemr.com/" TargetMode="External"/><Relationship Id="rId13" Type="http://schemas.openxmlformats.org/officeDocument/2006/relationships/hyperlink" Target="https://bioinitiative.org/rf-color-charts/" TargetMode="External"/><Relationship Id="rId14" Type="http://schemas.openxmlformats.org/officeDocument/2006/relationships/hyperlink" Target="https://ehtrust.org/wp-content/uploads/EHT-Factsheet-3557-Factsheet-Federal-Legislation-Wireless-Final-.pdf" TargetMode="External"/><Relationship Id="rId15" Type="http://schemas.openxmlformats.org/officeDocument/2006/relationships/hyperlink" Target="https://www.bbilan.org/blog/2023-08-16-wbi-town-hall-on-federal-bills?rq=3557" TargetMode="External"/><Relationship Id="rId16" Type="http://schemas.openxmlformats.org/officeDocument/2006/relationships/footnotes" Target="footnotes.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www.saferemr.com/" TargetMode="External"/><Relationship Id="rId2" Type="http://schemas.openxmlformats.org/officeDocument/2006/relationships/hyperlink" Target="https://www.ethics.harvard.edu/publications/captured-agency-how-federal-communications-commission-dominated"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LibreOffice/25.8.6.2$Windows_X86_64 LibreOffice_project/b4b39682cd9868fa725bc664aff94278d315bd04</Application>
  <AppVersion>15.0000</AppVersion>
  <Pages>4</Pages>
  <Words>1040</Words>
  <Characters>6054</Characters>
  <CharactersWithSpaces>7119</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2026-07-10T11:06:01Z</dcterms:created>
  <dc:creator/>
  <dc:description/>
  <dc:language>en-US</dc:language>
  <cp:lastModifiedBy/>
  <dcterms:modified xsi:type="dcterms:W3CDTF">2026-07-10T11:07:34Z</dcterms:modified>
  <cp:revision>2</cp:revision>
  <dc:subject/>
  <dc:title/>
</cp:coreProperties>
</file>